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1C5F" w14:textId="77777777" w:rsidR="008C5865" w:rsidRDefault="00A419EF">
      <w:pPr>
        <w:pStyle w:val="Title"/>
        <w:jc w:val="center"/>
      </w:pPr>
      <w:bookmarkStart w:id="0" w:name="_gjdgxs" w:colFirst="0" w:colLast="0"/>
      <w:bookmarkEnd w:id="0"/>
      <w:r>
        <w:t xml:space="preserve">Описание жизненного цикла программного обеспечения «Автоматизированная система управления дорожным движением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» («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»)</w:t>
      </w:r>
    </w:p>
    <w:p w14:paraId="0504383D" w14:textId="77777777" w:rsidR="008C5865" w:rsidRDefault="00A419EF">
      <w:r>
        <w:br w:type="page"/>
      </w:r>
    </w:p>
    <w:p w14:paraId="50A79BDA" w14:textId="77777777" w:rsidR="004B7C4D" w:rsidRDefault="004B7C4D" w:rsidP="004B7C4D">
      <w:pPr>
        <w:pStyle w:val="Title"/>
        <w:jc w:val="center"/>
      </w:pPr>
      <w:bookmarkStart w:id="1" w:name="_30j0zll" w:colFirst="0" w:colLast="0"/>
      <w:bookmarkEnd w:id="1"/>
      <w:r>
        <w:lastRenderedPageBreak/>
        <w:t>Оглавление</w:t>
      </w:r>
    </w:p>
    <w:p w14:paraId="4912EC89" w14:textId="77777777" w:rsidR="004B7C4D" w:rsidRDefault="004B7C4D" w:rsidP="004B7C4D"/>
    <w:sdt>
      <w:sdtPr>
        <w:id w:val="525611778"/>
        <w:docPartObj>
          <w:docPartGallery w:val="Table of Contents"/>
          <w:docPartUnique/>
        </w:docPartObj>
      </w:sdtPr>
      <w:sdtContent>
        <w:p w14:paraId="00DF5CC4" w14:textId="259D9BC5" w:rsidR="004B7C4D" w:rsidRDefault="004B7C4D">
          <w:pPr>
            <w:pStyle w:val="TOC1"/>
            <w:tabs>
              <w:tab w:val="left" w:pos="4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4467428" w:history="1">
            <w:r w:rsidRPr="0031147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66BCD" w14:textId="5E9D8C1C" w:rsidR="004B7C4D" w:rsidRDefault="004B7C4D">
          <w:pPr>
            <w:pStyle w:val="TOC1"/>
            <w:tabs>
              <w:tab w:val="left" w:pos="4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29" w:history="1">
            <w:r w:rsidRPr="00311476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Жизненный цикл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924B79" w14:textId="5DD624B8" w:rsidR="004B7C4D" w:rsidRDefault="004B7C4D">
          <w:pPr>
            <w:pStyle w:val="TOC1"/>
            <w:tabs>
              <w:tab w:val="left" w:pos="4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0" w:history="1">
            <w:r w:rsidRPr="00311476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Типовой регламент технической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6488B" w14:textId="17AB0C11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1" w:history="1">
            <w:r w:rsidRPr="00311476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Условия предоставления услуг технической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9EE2A" w14:textId="50DBB071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2" w:history="1">
            <w:r w:rsidRPr="00311476"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Каналы доставки запросов в техническую поддержку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289CA" w14:textId="1DAF2DB2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3" w:history="1">
            <w:r w:rsidRPr="00311476"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Выполнение запросов на техническую поддержку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CDDA1" w14:textId="3A83276A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4" w:history="1">
            <w:r w:rsidRPr="00311476"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Порядок выполнения работ по оказанию технической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F3BC2" w14:textId="6461057C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5" w:history="1">
            <w:r w:rsidRPr="00311476">
              <w:rPr>
                <w:rStyle w:val="Hyperlink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Закрытие запросов в техническую поддержку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46C40" w14:textId="78D0B8C5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6" w:history="1">
            <w:r w:rsidRPr="00311476">
              <w:rPr>
                <w:rStyle w:val="Hyperlink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Требования к персоналу для поддержания жизненного цикла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9A6F2" w14:textId="18F19997" w:rsidR="004B7C4D" w:rsidRDefault="004B7C4D">
          <w:pPr>
            <w:pStyle w:val="TO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7" w:history="1">
            <w:r w:rsidRPr="00311476">
              <w:rPr>
                <w:rStyle w:val="Hyperlink"/>
                <w:noProof/>
              </w:rPr>
              <w:t>3.6.1. Сотрудники и компетенции у правообладателя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667A2" w14:textId="34710C10" w:rsidR="004B7C4D" w:rsidRDefault="004B7C4D">
          <w:pPr>
            <w:pStyle w:val="TOC3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8" w:history="1">
            <w:r w:rsidRPr="00311476">
              <w:rPr>
                <w:rStyle w:val="Hyperlink"/>
                <w:noProof/>
              </w:rPr>
              <w:t>3.6.2. Требования к компетенциям у заказчика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283E6" w14:textId="0A08B69B" w:rsidR="004B7C4D" w:rsidRDefault="004B7C4D">
          <w:pPr>
            <w:pStyle w:val="TOC1"/>
            <w:tabs>
              <w:tab w:val="left" w:pos="44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39" w:history="1">
            <w:r w:rsidRPr="00311476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Контактная информация производителя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AE46D" w14:textId="6E0729ED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40" w:history="1">
            <w:r w:rsidRPr="00311476"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Юридическая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9E338" w14:textId="063BE1DC" w:rsidR="004B7C4D" w:rsidRDefault="004B7C4D">
          <w:pPr>
            <w:pStyle w:val="TOC2"/>
            <w:tabs>
              <w:tab w:val="left" w:pos="960"/>
              <w:tab w:val="right" w:pos="9019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RU"/>
            </w:rPr>
          </w:pPr>
          <w:hyperlink w:anchor="_Toc64467441" w:history="1">
            <w:r w:rsidRPr="00311476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val="en-RU"/>
              </w:rPr>
              <w:tab/>
            </w:r>
            <w:r w:rsidRPr="00311476">
              <w:rPr>
                <w:rStyle w:val="Hyperlink"/>
                <w:noProof/>
              </w:rPr>
              <w:t>Контактная информация службы технической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_Toc64467441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5E523" w14:textId="40CEA8F8" w:rsidR="004B7C4D" w:rsidRDefault="004B7C4D" w:rsidP="004B7C4D">
          <w:pPr>
            <w:tabs>
              <w:tab w:val="right" w:pos="9048"/>
            </w:tabs>
            <w:spacing w:before="200" w:after="80" w:line="240" w:lineRule="auto"/>
          </w:pPr>
          <w:r>
            <w:fldChar w:fldCharType="end"/>
          </w:r>
        </w:p>
      </w:sdtContent>
    </w:sdt>
    <w:p w14:paraId="23D42511" w14:textId="77777777" w:rsidR="004B7C4D" w:rsidRDefault="004B7C4D" w:rsidP="004B7C4D"/>
    <w:p w14:paraId="1C9EBD3E" w14:textId="77777777" w:rsidR="004B7C4D" w:rsidRDefault="004B7C4D" w:rsidP="004B7C4D"/>
    <w:p w14:paraId="10CEB29E" w14:textId="77777777" w:rsidR="004B7C4D" w:rsidRDefault="004B7C4D" w:rsidP="004B7C4D"/>
    <w:p w14:paraId="3B55312D" w14:textId="60C5C347" w:rsidR="004B7C4D" w:rsidRDefault="004B7C4D">
      <w:pPr>
        <w:rPr>
          <w:sz w:val="40"/>
          <w:szCs w:val="40"/>
          <w:lang w:val="ru-RU"/>
        </w:rPr>
      </w:pPr>
      <w:r>
        <w:rPr>
          <w:lang w:val="ru-RU"/>
        </w:rPr>
        <w:br w:type="page"/>
      </w:r>
    </w:p>
    <w:p w14:paraId="0DEE39D4" w14:textId="196B1018" w:rsidR="008C5865" w:rsidRDefault="00A419EF">
      <w:pPr>
        <w:pStyle w:val="Heading1"/>
        <w:numPr>
          <w:ilvl w:val="0"/>
          <w:numId w:val="1"/>
        </w:numPr>
      </w:pPr>
      <w:bookmarkStart w:id="2" w:name="_Toc64467428"/>
      <w:r>
        <w:lastRenderedPageBreak/>
        <w:t>Введение</w:t>
      </w:r>
      <w:bookmarkEnd w:id="2"/>
    </w:p>
    <w:p w14:paraId="072D404D" w14:textId="77777777" w:rsidR="008C5865" w:rsidRDefault="00A419EF">
      <w:pPr>
        <w:jc w:val="both"/>
      </w:pPr>
      <w:r>
        <w:t>Настоящее руководство описывает процессы, обеспечивающие поддержание жизненного цикла программного о</w:t>
      </w:r>
      <w:r>
        <w:t xml:space="preserve">беспечения «Автоматизированная система управления дорожным движением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» («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»)</w:t>
      </w:r>
      <w:r>
        <w:rPr>
          <w:vertAlign w:val="superscript"/>
        </w:rPr>
        <w:footnoteReference w:id="1"/>
      </w:r>
      <w:r>
        <w:t>, включая регламент технической поддержки.</w:t>
      </w:r>
    </w:p>
    <w:p w14:paraId="6E088BFB" w14:textId="77777777" w:rsidR="008C5865" w:rsidRDefault="00A419EF">
      <w:pPr>
        <w:pStyle w:val="Heading1"/>
        <w:numPr>
          <w:ilvl w:val="0"/>
          <w:numId w:val="1"/>
        </w:numPr>
      </w:pPr>
      <w:bookmarkStart w:id="3" w:name="_1fob9te" w:colFirst="0" w:colLast="0"/>
      <w:bookmarkStart w:id="4" w:name="_Toc64467429"/>
      <w:bookmarkEnd w:id="3"/>
      <w:r>
        <w:t>Жизненный цикл программного обеспечения</w:t>
      </w:r>
      <w:bookmarkEnd w:id="4"/>
    </w:p>
    <w:p w14:paraId="58EF1D5C" w14:textId="77777777" w:rsidR="008C5865" w:rsidRDefault="00A419EF">
      <w:pPr>
        <w:jc w:val="both"/>
      </w:pPr>
      <w:r>
        <w:t xml:space="preserve">Программное обеспечение АСУДД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устанавливается на </w:t>
      </w:r>
      <w:r>
        <w:t>оборудование АСУ специалистами разработчика или их представителей. При этом при наличии особых требований заказчика или специфичного оборудования может потребоваться доработка ПО или разработка дополнительных модулей.</w:t>
      </w:r>
    </w:p>
    <w:p w14:paraId="684631F4" w14:textId="77777777" w:rsidR="008C5865" w:rsidRDefault="00A419EF">
      <w:pPr>
        <w:jc w:val="both"/>
      </w:pPr>
      <w:r>
        <w:t>Выпуск продукта, новой версии или ново</w:t>
      </w:r>
      <w:r>
        <w:t>го поколения осуществляется отделом разработки программного обеспечения ООО «Континент». Форма выпуска — комплект установочных файлов (далее — дистрибутив). Контроль выпускаемых версий или поколения ПО осуществляется путем присвоения ему цифровой комбинаци</w:t>
      </w:r>
      <w:r>
        <w:t>и, в которой указано поколение ПО и версия обновления.</w:t>
      </w:r>
    </w:p>
    <w:p w14:paraId="67F74E2E" w14:textId="77777777" w:rsidR="008C5865" w:rsidRDefault="00A419EF">
      <w:pPr>
        <w:jc w:val="both"/>
      </w:pPr>
      <w:r>
        <w:t>Выпуск новых версий ПО осуществляется по следующим правилам:</w:t>
      </w:r>
    </w:p>
    <w:p w14:paraId="157F342C" w14:textId="77777777" w:rsidR="008C5865" w:rsidRDefault="00A419EF">
      <w:pPr>
        <w:numPr>
          <w:ilvl w:val="0"/>
          <w:numId w:val="4"/>
        </w:numPr>
        <w:jc w:val="both"/>
      </w:pPr>
      <w:r>
        <w:t>Номер сборки присваивается каждый раз, когда осуществляется выпуск новых обновлений, в том числе в процессе исправления ошибок, незначительн</w:t>
      </w:r>
      <w:r>
        <w:t>ых доработок и может не нести изменений в функциональности ПО.</w:t>
      </w:r>
    </w:p>
    <w:p w14:paraId="4C014052" w14:textId="77777777" w:rsidR="008C5865" w:rsidRDefault="00A419EF">
      <w:pPr>
        <w:numPr>
          <w:ilvl w:val="0"/>
          <w:numId w:val="4"/>
        </w:numPr>
        <w:jc w:val="both"/>
      </w:pPr>
      <w:r>
        <w:t>Поколение ПО изменяется в том случае, если вносятся существенные изменения в функциональные возможности ПО, добавляются новые алгоритмы работы или существенно изменяется пользовательский интерф</w:t>
      </w:r>
      <w:r>
        <w:t>ейс.</w:t>
      </w:r>
    </w:p>
    <w:p w14:paraId="670D5670" w14:textId="77777777" w:rsidR="008C5865" w:rsidRDefault="00A419EF">
      <w:pPr>
        <w:jc w:val="both"/>
      </w:pPr>
      <w:r>
        <w:t>Выпуск нового поколения ПО сопровождается выпуском следующих документов:</w:t>
      </w:r>
    </w:p>
    <w:p w14:paraId="05B9FFED" w14:textId="77777777" w:rsidR="008C5865" w:rsidRDefault="00A419EF">
      <w:pPr>
        <w:numPr>
          <w:ilvl w:val="0"/>
          <w:numId w:val="3"/>
        </w:numPr>
        <w:jc w:val="both"/>
      </w:pPr>
      <w:r>
        <w:t>Общий список изменений.</w:t>
      </w:r>
    </w:p>
    <w:p w14:paraId="4B9BD687" w14:textId="77777777" w:rsidR="008C5865" w:rsidRDefault="00A419EF">
      <w:pPr>
        <w:numPr>
          <w:ilvl w:val="0"/>
          <w:numId w:val="3"/>
        </w:numPr>
        <w:jc w:val="both"/>
      </w:pPr>
      <w:r>
        <w:t>Сведения о совместимости с предыдущими версиями.</w:t>
      </w:r>
    </w:p>
    <w:p w14:paraId="3481D20F" w14:textId="77777777" w:rsidR="008C5865" w:rsidRDefault="00A419EF">
      <w:pPr>
        <w:numPr>
          <w:ilvl w:val="0"/>
          <w:numId w:val="3"/>
        </w:numPr>
        <w:jc w:val="both"/>
      </w:pPr>
      <w:r>
        <w:t>Инструкция по установке или обновлению.</w:t>
      </w:r>
    </w:p>
    <w:p w14:paraId="73645B31" w14:textId="77777777" w:rsidR="008C5865" w:rsidRDefault="00A419EF">
      <w:pPr>
        <w:jc w:val="both"/>
      </w:pPr>
      <w:r>
        <w:t xml:space="preserve">Для контроля версий АСУДД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каждый релиз имеет св</w:t>
      </w:r>
      <w:r>
        <w:t xml:space="preserve">ой номер. Для номера версий принято обозначение вида «X.Y.Z», где X — номер версии, Y — номер версии </w:t>
      </w:r>
      <w:proofErr w:type="spellStart"/>
      <w:r>
        <w:t>OpenSCADA</w:t>
      </w:r>
      <w:proofErr w:type="spellEnd"/>
      <w:r>
        <w:t>, необходимой для работы ПО, Z — номер сборки. При этом в номере сборки указывается дата в формате «ГГДДММ» того дня, в который она была осуществл</w:t>
      </w:r>
      <w:r>
        <w:t>ена.</w:t>
      </w:r>
    </w:p>
    <w:p w14:paraId="6C0B6D85" w14:textId="77777777" w:rsidR="008C5865" w:rsidRDefault="00A419EF">
      <w:pPr>
        <w:jc w:val="both"/>
      </w:pPr>
      <w:r>
        <w:t>Выпуск обновлений производится при получении от заказчика рекламаций об обнаруженных ошибках в работе ПО.</w:t>
      </w:r>
    </w:p>
    <w:p w14:paraId="0D7577F0" w14:textId="77777777" w:rsidR="008C5865" w:rsidRDefault="00A419EF">
      <w:pPr>
        <w:jc w:val="both"/>
      </w:pPr>
      <w:r>
        <w:t>Установка обновления на оборудование АСУ заказчика осуществляется специалистами разработчика или их представителей.</w:t>
      </w:r>
    </w:p>
    <w:p w14:paraId="6E86E5F6" w14:textId="77777777" w:rsidR="008C5865" w:rsidRDefault="00A419EF">
      <w:pPr>
        <w:jc w:val="both"/>
      </w:pPr>
      <w:r>
        <w:t>При потребности в вертикально</w:t>
      </w:r>
      <w:r>
        <w:t>м масштабировании производится корректировка аппаратных ресурсов (дисковые квоты, число процессорных ядер, объем оперативной памяти, замена накопителей, подключение дополнительных периферийных устройств и т. д.). Эти работы, как правило, проводятся с полно</w:t>
      </w:r>
      <w:r>
        <w:t>й или частичной остановкой сервиса.</w:t>
      </w:r>
    </w:p>
    <w:p w14:paraId="4830FBEA" w14:textId="77777777" w:rsidR="008C5865" w:rsidRDefault="00A419EF">
      <w:pPr>
        <w:jc w:val="both"/>
      </w:pPr>
      <w:r>
        <w:lastRenderedPageBreak/>
        <w:t>При потребности в горизонтальном масштабировании к уже работающему программно-аппаратному комплексу добавляются новые экземпляры программного обеспечения или его отдельные модули. Эти работы могут проводиться без останов</w:t>
      </w:r>
      <w:r>
        <w:t>ки сервиса за счет возможности выполнения отдельных модулей ПО на резервных ЭВМ.</w:t>
      </w:r>
    </w:p>
    <w:p w14:paraId="1A3D0911" w14:textId="77777777" w:rsidR="008C5865" w:rsidRDefault="00A419EF">
      <w:pPr>
        <w:jc w:val="both"/>
      </w:pPr>
      <w:r>
        <w:t>Процесс обновления экземпляра программного обеспечения представляет собой замену исполняемого файла приложения и/или его конфигурационных файлов и, как правило, связан с полно</w:t>
      </w:r>
      <w:r>
        <w:t>й остановкой и последующим перезапуском приложения. При этом остановка сервиса для операторов может не произойти за счет использования элементов горизонтального масштабирования.</w:t>
      </w:r>
    </w:p>
    <w:p w14:paraId="32918879" w14:textId="77777777" w:rsidR="008C5865" w:rsidRDefault="00A419EF">
      <w:pPr>
        <w:jc w:val="both"/>
      </w:pPr>
      <w:r>
        <w:t>Функциональность Системы постоянно расширяется, в том числе посредством исполь</w:t>
      </w:r>
      <w:r>
        <w:t>зования поддерживаемой им модульности. Целью расширения функциональности является предоставление поддержки новых типов оборудования, а также повышение эффективности.</w:t>
      </w:r>
    </w:p>
    <w:p w14:paraId="142D65BF" w14:textId="77777777" w:rsidR="008C5865" w:rsidRDefault="00A419EF">
      <w:pPr>
        <w:jc w:val="both"/>
      </w:pPr>
      <w:r>
        <w:t>Расширение функциональности осуществляется отделом разработки программного обеспечения ООО</w:t>
      </w:r>
      <w:r>
        <w:t xml:space="preserve"> «Континент», но может быть осуществлено пользователем (например, администратором) путем написания модулей на языке программирования среды </w:t>
      </w:r>
      <w:proofErr w:type="spellStart"/>
      <w:r>
        <w:t>OpenSCADA</w:t>
      </w:r>
      <w:proofErr w:type="spellEnd"/>
      <w:r>
        <w:t>.</w:t>
      </w:r>
    </w:p>
    <w:p w14:paraId="2CA5176C" w14:textId="77777777" w:rsidR="008C5865" w:rsidRDefault="00A419EF">
      <w:pPr>
        <w:jc w:val="both"/>
      </w:pPr>
      <w:r>
        <w:t>Данная Система может являться составной частью, в том числе модулем, сервисом и т. д. другой, по крайней м</w:t>
      </w:r>
      <w:r>
        <w:t>ере, одной, системы (в том числе платформы, сервиса и т. д.), объединяющей (связывающей и т. д.) такие модули, причем данный модуль также может являться клиентской частью (в том числе серверным модулем) такой объединяющей системы или являться дополнением и</w:t>
      </w:r>
      <w:r>
        <w:t>ли расширением такой объединяющей системы. Так, например, данная Система может расширять функциональность другой системы, сервиса, модуля, платформы, т. е. является масштабируемой самостоятельно и одновременно интегрируемой в другую систему, сохраняя необх</w:t>
      </w:r>
      <w:r>
        <w:t>одимую пользователям гибкость и не теряя в своей функциональности.</w:t>
      </w:r>
    </w:p>
    <w:p w14:paraId="54804534" w14:textId="77777777" w:rsidR="008C5865" w:rsidRDefault="00A419EF">
      <w:pPr>
        <w:pStyle w:val="Heading1"/>
        <w:numPr>
          <w:ilvl w:val="0"/>
          <w:numId w:val="1"/>
        </w:numPr>
        <w:spacing w:after="0"/>
      </w:pPr>
      <w:bookmarkStart w:id="5" w:name="_3znysh7" w:colFirst="0" w:colLast="0"/>
      <w:bookmarkStart w:id="6" w:name="_Toc64467430"/>
      <w:bookmarkEnd w:id="5"/>
      <w:r>
        <w:t>Типовой регламент технической поддержки</w:t>
      </w:r>
      <w:bookmarkEnd w:id="6"/>
    </w:p>
    <w:p w14:paraId="57EBB3DB" w14:textId="77777777" w:rsidR="008C5865" w:rsidRDefault="00A419EF">
      <w:pPr>
        <w:pStyle w:val="Heading2"/>
        <w:numPr>
          <w:ilvl w:val="1"/>
          <w:numId w:val="1"/>
        </w:numPr>
        <w:spacing w:before="0"/>
        <w:ind w:left="850" w:hanging="283"/>
      </w:pPr>
      <w:bookmarkStart w:id="7" w:name="_2et92p0" w:colFirst="0" w:colLast="0"/>
      <w:bookmarkStart w:id="8" w:name="_Toc64467431"/>
      <w:bookmarkEnd w:id="7"/>
      <w:r>
        <w:t>Условия предоставления услуг технической поддержки</w:t>
      </w:r>
      <w:bookmarkEnd w:id="8"/>
    </w:p>
    <w:p w14:paraId="085FBBD8" w14:textId="77777777" w:rsidR="008C5865" w:rsidRDefault="00A419EF">
      <w:pPr>
        <w:jc w:val="both"/>
      </w:pPr>
      <w:r>
        <w:t>Услуги поддержки оказываются индивидуально для каждого заказчика в рамках приобретенного заказчиком пакета программ поддержки. В приоритетном режиме рассматриваются запросы о проблемах, блокирующих работу заказчика с ПО.</w:t>
      </w:r>
    </w:p>
    <w:p w14:paraId="5BB5F46E" w14:textId="77777777" w:rsidR="008C5865" w:rsidRDefault="00A419EF">
      <w:pPr>
        <w:pStyle w:val="Heading2"/>
        <w:numPr>
          <w:ilvl w:val="1"/>
          <w:numId w:val="1"/>
        </w:numPr>
        <w:ind w:left="850" w:hanging="283"/>
      </w:pPr>
      <w:bookmarkStart w:id="9" w:name="_tyjcwt" w:colFirst="0" w:colLast="0"/>
      <w:bookmarkStart w:id="10" w:name="_Toc64467432"/>
      <w:bookmarkEnd w:id="9"/>
      <w:r>
        <w:t>Каналы доставки запросов в техничес</w:t>
      </w:r>
      <w:r>
        <w:t>кую поддержку</w:t>
      </w:r>
      <w:bookmarkEnd w:id="10"/>
    </w:p>
    <w:p w14:paraId="6E6F0B2E" w14:textId="77777777" w:rsidR="008C5865" w:rsidRDefault="00A419EF">
      <w:pPr>
        <w:jc w:val="both"/>
      </w:pPr>
      <w:r>
        <w:t>Запросы на техническую поддержку принимаются:</w:t>
      </w:r>
    </w:p>
    <w:p w14:paraId="350CE124" w14:textId="77777777" w:rsidR="008C5865" w:rsidRDefault="00A419EF">
      <w:pPr>
        <w:numPr>
          <w:ilvl w:val="0"/>
          <w:numId w:val="5"/>
        </w:numPr>
        <w:jc w:val="both"/>
      </w:pPr>
      <w:r>
        <w:t>в электронном виде посредством направления электронной почты на адрес info@svsu.ru. Обращения в электронной форме принимаются круглосуточно, в любой день недели;</w:t>
      </w:r>
    </w:p>
    <w:p w14:paraId="4A25FE9D" w14:textId="77777777" w:rsidR="008C5865" w:rsidRDefault="00A419EF">
      <w:pPr>
        <w:numPr>
          <w:ilvl w:val="0"/>
          <w:numId w:val="5"/>
        </w:numPr>
        <w:jc w:val="both"/>
      </w:pPr>
      <w:r>
        <w:t>в телефонном режиме по телефону +7</w:t>
      </w:r>
      <w:r>
        <w:t xml:space="preserve"> (495) 971-06-81.</w:t>
      </w:r>
    </w:p>
    <w:p w14:paraId="2EA5B363" w14:textId="77777777" w:rsidR="008C5865" w:rsidRDefault="00A419EF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</w:pPr>
      <w:bookmarkStart w:id="11" w:name="_3dy6vkm" w:colFirst="0" w:colLast="0"/>
      <w:bookmarkStart w:id="12" w:name="_Toc64467433"/>
      <w:bookmarkEnd w:id="11"/>
      <w:r>
        <w:t>Выполнение запросов на техническую поддержку</w:t>
      </w:r>
      <w:bookmarkEnd w:id="12"/>
    </w:p>
    <w:p w14:paraId="25DFBB74" w14:textId="77777777" w:rsidR="008C5865" w:rsidRDefault="00A419EF">
      <w:pPr>
        <w:jc w:val="both"/>
      </w:pPr>
      <w:r>
        <w:t>При подаче запроса на техническую поддержку необходимо:</w:t>
      </w:r>
    </w:p>
    <w:p w14:paraId="1327067E" w14:textId="77777777" w:rsidR="008C5865" w:rsidRDefault="00A419EF">
      <w:pPr>
        <w:numPr>
          <w:ilvl w:val="0"/>
          <w:numId w:val="2"/>
        </w:numPr>
        <w:jc w:val="both"/>
      </w:pPr>
      <w:r>
        <w:lastRenderedPageBreak/>
        <w:t>кратко описать суть проблемы (по этому описанию в автоматизированной системе будет заведен запрос заказчика);</w:t>
      </w:r>
    </w:p>
    <w:p w14:paraId="5B30CFD6" w14:textId="77777777" w:rsidR="008C5865" w:rsidRDefault="00A419EF">
      <w:pPr>
        <w:numPr>
          <w:ilvl w:val="0"/>
          <w:numId w:val="2"/>
        </w:numPr>
        <w:jc w:val="both"/>
      </w:pPr>
      <w:r>
        <w:t>подробно описать проблему в</w:t>
      </w:r>
      <w:r>
        <w:t xml:space="preserve"> обращении;</w:t>
      </w:r>
    </w:p>
    <w:p w14:paraId="7AA22A31" w14:textId="77777777" w:rsidR="008C5865" w:rsidRDefault="00A419EF">
      <w:pPr>
        <w:numPr>
          <w:ilvl w:val="0"/>
          <w:numId w:val="2"/>
        </w:numPr>
        <w:jc w:val="both"/>
      </w:pPr>
      <w:r>
        <w:t>приложить лог-файлы или скриншоты с ошибками;</w:t>
      </w:r>
    </w:p>
    <w:p w14:paraId="3A3997C2" w14:textId="77777777" w:rsidR="008C5865" w:rsidRDefault="00A419EF">
      <w:pPr>
        <w:numPr>
          <w:ilvl w:val="0"/>
          <w:numId w:val="2"/>
        </w:numPr>
        <w:jc w:val="both"/>
      </w:pPr>
      <w:r>
        <w:t>указать параметры системы, на которой произошла ошибка (версию ОС).</w:t>
      </w:r>
    </w:p>
    <w:p w14:paraId="4E7FADFD" w14:textId="77777777" w:rsidR="008C5865" w:rsidRDefault="00A419EF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</w:pPr>
      <w:bookmarkStart w:id="13" w:name="_1t3h5sf" w:colFirst="0" w:colLast="0"/>
      <w:bookmarkStart w:id="14" w:name="_Toc64467434"/>
      <w:bookmarkEnd w:id="13"/>
      <w:r>
        <w:t>Порядок выполнения работ по оказанию технической поддержки</w:t>
      </w:r>
      <w:bookmarkEnd w:id="14"/>
    </w:p>
    <w:p w14:paraId="1342ABD0" w14:textId="77777777" w:rsidR="008C5865" w:rsidRDefault="00A419EF">
      <w:pPr>
        <w:jc w:val="both"/>
      </w:pPr>
      <w:r>
        <w:t>Каждому запросу присваивается уникальный регистрационный номер в автома</w:t>
      </w:r>
      <w:r>
        <w:t>тизированной системе регистрации задач, назначаются исполнители запроса и его приоритет. Служба технической поддержки сообщает заказчику регистрационный номер, присвоенный запросу при регистрации. Зарегистрированный запрос обрабатывается и выполняется согл</w:t>
      </w:r>
      <w:r>
        <w:t>асно установленной системе приоритетов.</w:t>
      </w:r>
    </w:p>
    <w:p w14:paraId="7FC6096C" w14:textId="77777777" w:rsidR="008C5865" w:rsidRDefault="00A419EF">
      <w:pPr>
        <w:jc w:val="both"/>
      </w:pPr>
      <w:r>
        <w:t>Действия специалистов исполнителя по выполнению запроса документируются в системе регистрации задач. В зависимости от содержания запроса и возможных вариантов его решения заказчику предоставляются варианты решения во</w:t>
      </w:r>
      <w:r>
        <w:t>зникшей проблемы согласно содержанию запроса либо высылается новая сборка продукта. 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</w:t>
      </w:r>
      <w:r>
        <w:t xml:space="preserve"> дополнительная информация, рекомендации и ответы заказчика документируются исполнителем в системе регистрации задач.</w:t>
      </w:r>
    </w:p>
    <w:p w14:paraId="6B6483A5" w14:textId="77777777" w:rsidR="008C5865" w:rsidRDefault="00A419EF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283"/>
      </w:pPr>
      <w:bookmarkStart w:id="15" w:name="_4d34og8" w:colFirst="0" w:colLast="0"/>
      <w:bookmarkStart w:id="16" w:name="_Toc64467435"/>
      <w:bookmarkEnd w:id="15"/>
      <w:r>
        <w:t>Закрытие запросов в техническую поддержку</w:t>
      </w:r>
      <w:bookmarkEnd w:id="16"/>
    </w:p>
    <w:p w14:paraId="0A1B4442" w14:textId="77777777" w:rsidR="008C5865" w:rsidRDefault="00A419EF">
      <w:pPr>
        <w:jc w:val="both"/>
      </w:pPr>
      <w:r>
        <w:t>После доставки ответа заказчику запрос считается завершенным и находится в статусе «Завершен, требует подтверждения Заказчика». В случае аргументированного несогласия заказчика с завершением запроса, выполнение запроса продолжается. Завершенный запрос пере</w:t>
      </w:r>
      <w:r>
        <w:t>ходит в состояние закрытого после получения исполнителем подтверждения от заказчика о решении запроса. Закрытие запроса подтверждает представитель заказчика, зафиксированный в списке ответственных лиц. В случае отсутствия ответа заказчика о завершении запр</w:t>
      </w:r>
      <w:r>
        <w:t>оса в течение 14 рабочих дней, в случае если иное не оговорено в дополнительных соглашениях, запрос считается закрытым. Закрытие запроса может инициировать заказчик, если надобность в ответе на запрос по каким-либо причинам более не требуется.</w:t>
      </w:r>
    </w:p>
    <w:p w14:paraId="5316606E" w14:textId="77777777" w:rsidR="008C5865" w:rsidRDefault="00A419EF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283"/>
      </w:pPr>
      <w:bookmarkStart w:id="17" w:name="_2s8eyo1" w:colFirst="0" w:colLast="0"/>
      <w:bookmarkStart w:id="18" w:name="_Toc64467436"/>
      <w:bookmarkEnd w:id="17"/>
      <w:r>
        <w:t>Требования к</w:t>
      </w:r>
      <w:r>
        <w:t xml:space="preserve"> персоналу для поддержания жизненного цикла</w:t>
      </w:r>
      <w:bookmarkEnd w:id="18"/>
    </w:p>
    <w:p w14:paraId="1C7E4E9B" w14:textId="77777777" w:rsidR="008C5865" w:rsidRDefault="00A419EF">
      <w:pPr>
        <w:pStyle w:val="Heading3"/>
      </w:pPr>
      <w:bookmarkStart w:id="19" w:name="_17dp8vu" w:colFirst="0" w:colLast="0"/>
      <w:bookmarkStart w:id="20" w:name="_Toc64467437"/>
      <w:bookmarkEnd w:id="19"/>
      <w:r>
        <w:t>3.6.1. Сотрудники и компетенции у правообладателя</w:t>
      </w:r>
      <w:bookmarkEnd w:id="20"/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075"/>
        <w:gridCol w:w="3765"/>
        <w:gridCol w:w="1650"/>
      </w:tblGrid>
      <w:tr w:rsidR="008C5865" w14:paraId="2844D1D3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4057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№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DA5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Направление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23B8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Компетенции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2D34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Желательное количество сотрудников</w:t>
            </w:r>
          </w:p>
        </w:tc>
      </w:tr>
      <w:tr w:rsidR="008C5865" w14:paraId="73DE51B6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C63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6FC4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Разработка пользовательского </w:t>
            </w:r>
            <w:r>
              <w:lastRenderedPageBreak/>
              <w:t>интерфейса и BACK-END.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B181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lastRenderedPageBreak/>
              <w:t>OpenSCADA</w:t>
            </w:r>
            <w:proofErr w:type="spellEnd"/>
            <w:r>
              <w:t>, C++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9315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</w:tr>
      <w:tr w:rsidR="008C5865" w14:paraId="3FB6DD3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9F17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0573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Разработка интеграционных решений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13A6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C++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9F58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</w:tr>
      <w:tr w:rsidR="008C5865" w14:paraId="4B2CDC9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768C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C476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DevOPS</w:t>
            </w:r>
            <w:proofErr w:type="spellEnd"/>
            <w:r>
              <w:t xml:space="preserve"> (разворачивание инфраструктуры и приложений)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900D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Debian</w:t>
            </w:r>
            <w:proofErr w:type="spellEnd"/>
            <w:r>
              <w:t xml:space="preserve"> </w:t>
            </w:r>
            <w:proofErr w:type="spellStart"/>
            <w:r>
              <w:t>Linux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0A81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8C5865" w14:paraId="64F8E9C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6681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12D2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Тестировщики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BF5B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Опыт разработки </w:t>
            </w:r>
            <w:proofErr w:type="spellStart"/>
            <w:r>
              <w:t>автотестов</w:t>
            </w:r>
            <w:proofErr w:type="spellEnd"/>
            <w:r>
              <w:t>, нагрузочного тестирования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E151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</w:tr>
      <w:tr w:rsidR="008C5865" w14:paraId="3284E02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0275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1ED1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Бизнес-аналитик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095F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Анализ технических заданий и требований заказчика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6C5C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8C5865" w14:paraId="5DA8FCFC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5D76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462B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Системный аналитик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B257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Анализ протоколов оборудования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A1D2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8C5865" w14:paraId="4F46BCA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2797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8FBD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Администратор СУБД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353B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MySQL</w:t>
            </w:r>
            <w:proofErr w:type="spellEnd"/>
            <w:r>
              <w:t xml:space="preserve">, </w:t>
            </w:r>
            <w:proofErr w:type="spellStart"/>
            <w:r>
              <w:t>PostgreSQL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DDAA" w14:textId="77777777" w:rsidR="008C5865" w:rsidRDefault="00A4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</w:tbl>
    <w:p w14:paraId="67C0B3FA" w14:textId="77777777" w:rsidR="008C5865" w:rsidRDefault="00A419EF">
      <w:pPr>
        <w:pStyle w:val="Heading3"/>
        <w:pBdr>
          <w:top w:val="nil"/>
          <w:left w:val="nil"/>
          <w:bottom w:val="nil"/>
          <w:right w:val="nil"/>
          <w:between w:val="nil"/>
        </w:pBdr>
      </w:pPr>
      <w:bookmarkStart w:id="21" w:name="_3rdcrjn" w:colFirst="0" w:colLast="0"/>
      <w:bookmarkStart w:id="22" w:name="_Toc64467438"/>
      <w:bookmarkEnd w:id="21"/>
      <w:r>
        <w:t>3.6.2. Требования к компетенциям у заказчика</w:t>
      </w:r>
      <w:bookmarkEnd w:id="22"/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075"/>
        <w:gridCol w:w="3765"/>
        <w:gridCol w:w="1650"/>
      </w:tblGrid>
      <w:tr w:rsidR="008C5865" w14:paraId="1F89283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5F13" w14:textId="77777777" w:rsidR="008C5865" w:rsidRDefault="00A419EF">
            <w:pPr>
              <w:widowControl w:val="0"/>
              <w:spacing w:line="240" w:lineRule="auto"/>
              <w:jc w:val="center"/>
            </w:pPr>
            <w:r>
              <w:t>№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5343" w14:textId="77777777" w:rsidR="008C5865" w:rsidRDefault="00A419EF">
            <w:pPr>
              <w:widowControl w:val="0"/>
              <w:spacing w:line="240" w:lineRule="auto"/>
              <w:jc w:val="center"/>
            </w:pPr>
            <w:r>
              <w:t>Направление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18BE" w14:textId="77777777" w:rsidR="008C5865" w:rsidRDefault="00A419EF">
            <w:pPr>
              <w:widowControl w:val="0"/>
              <w:spacing w:line="240" w:lineRule="auto"/>
              <w:jc w:val="center"/>
            </w:pPr>
            <w:r>
              <w:t>Компетенции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FDF9" w14:textId="77777777" w:rsidR="008C5865" w:rsidRDefault="00A419EF">
            <w:pPr>
              <w:widowControl w:val="0"/>
              <w:spacing w:line="240" w:lineRule="auto"/>
              <w:jc w:val="center"/>
            </w:pPr>
            <w:r>
              <w:t>Желательное количество сотрудников</w:t>
            </w:r>
          </w:p>
        </w:tc>
      </w:tr>
      <w:tr w:rsidR="008C5865" w14:paraId="74580FE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1859" w14:textId="77777777" w:rsidR="008C5865" w:rsidRDefault="00A419EF">
            <w:pPr>
              <w:widowControl w:val="0"/>
              <w:spacing w:line="240" w:lineRule="auto"/>
              <w:jc w:val="right"/>
            </w:pPr>
            <w:r>
              <w:t>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F6C8" w14:textId="77777777" w:rsidR="008C5865" w:rsidRDefault="00A419EF">
            <w:pPr>
              <w:widowControl w:val="0"/>
              <w:spacing w:line="240" w:lineRule="auto"/>
              <w:jc w:val="both"/>
            </w:pPr>
            <w:r>
              <w:t>Системный администратор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3896" w14:textId="77777777" w:rsidR="008C5865" w:rsidRDefault="00A419EF">
            <w:pPr>
              <w:widowControl w:val="0"/>
              <w:spacing w:line="240" w:lineRule="auto"/>
              <w:jc w:val="both"/>
            </w:pPr>
            <w:proofErr w:type="spellStart"/>
            <w:r>
              <w:t>Linux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BBD7" w14:textId="77777777" w:rsidR="008C5865" w:rsidRDefault="00A419EF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</w:tbl>
    <w:p w14:paraId="7167FBCB" w14:textId="77777777" w:rsidR="008C5865" w:rsidRDefault="00A419EF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3" w:name="_26in1rg" w:colFirst="0" w:colLast="0"/>
      <w:bookmarkStart w:id="24" w:name="_Toc64467439"/>
      <w:bookmarkEnd w:id="23"/>
      <w:r>
        <w:t>Контактная информация производителя программного обеспечения</w:t>
      </w:r>
      <w:bookmarkEnd w:id="24"/>
    </w:p>
    <w:p w14:paraId="3D338EF6" w14:textId="77777777" w:rsidR="008C5865" w:rsidRDefault="00A419EF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283"/>
      </w:pPr>
      <w:bookmarkStart w:id="25" w:name="_lnxbz9" w:colFirst="0" w:colLast="0"/>
      <w:bookmarkStart w:id="26" w:name="_Toc64467440"/>
      <w:bookmarkEnd w:id="25"/>
      <w:r>
        <w:t>Юридическая информация</w:t>
      </w:r>
      <w:bookmarkEnd w:id="26"/>
    </w:p>
    <w:p w14:paraId="7E0042B6" w14:textId="77777777" w:rsidR="008C5865" w:rsidRDefault="00A419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ООО «Континент»</w:t>
      </w:r>
    </w:p>
    <w:p w14:paraId="6B0C4E07" w14:textId="77777777" w:rsidR="008C5865" w:rsidRDefault="00A419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Юридический адрес: 125047, город Москва, 4-Я Тверская-Ямская улица, дом 2/11 строение 2, подвал </w:t>
      </w:r>
      <w:proofErr w:type="spellStart"/>
      <w:r>
        <w:t>пом</w:t>
      </w:r>
      <w:proofErr w:type="spellEnd"/>
      <w:r>
        <w:t xml:space="preserve"> 1, </w:t>
      </w:r>
      <w:proofErr w:type="spellStart"/>
      <w:r>
        <w:t>комн</w:t>
      </w:r>
      <w:proofErr w:type="spellEnd"/>
      <w:r>
        <w:t xml:space="preserve"> 4, оф 3.</w:t>
      </w:r>
    </w:p>
    <w:p w14:paraId="521A63F1" w14:textId="77777777" w:rsidR="008C5865" w:rsidRDefault="00A419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Почтовый адрес: 125047, город Москва, 4</w:t>
      </w:r>
      <w:r>
        <w:t xml:space="preserve">-Я Тверская-Ямская улица, дом 2/11 строение 2, подвал </w:t>
      </w:r>
      <w:proofErr w:type="spellStart"/>
      <w:r>
        <w:t>пом</w:t>
      </w:r>
      <w:proofErr w:type="spellEnd"/>
      <w:r>
        <w:t xml:space="preserve"> 1, </w:t>
      </w:r>
      <w:proofErr w:type="spellStart"/>
      <w:r>
        <w:t>комн</w:t>
      </w:r>
      <w:proofErr w:type="spellEnd"/>
      <w:r>
        <w:t xml:space="preserve"> 4, оф 3.</w:t>
      </w:r>
    </w:p>
    <w:p w14:paraId="59790910" w14:textId="77777777" w:rsidR="008C5865" w:rsidRDefault="00A419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ОГРН: 5087746087589</w:t>
      </w:r>
    </w:p>
    <w:p w14:paraId="135D95F7" w14:textId="77777777" w:rsidR="008C5865" w:rsidRDefault="00A419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ИНН / КПП: 7710727347/771001001</w:t>
      </w:r>
    </w:p>
    <w:p w14:paraId="084ECE78" w14:textId="77777777" w:rsidR="008C5865" w:rsidRDefault="00A419E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Электронная почта: info@svsu.ru</w:t>
      </w:r>
    </w:p>
    <w:p w14:paraId="52538BBD" w14:textId="77777777" w:rsidR="008C5865" w:rsidRDefault="00A419EF">
      <w:pPr>
        <w:pStyle w:val="Heading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283"/>
      </w:pPr>
      <w:bookmarkStart w:id="27" w:name="_35nkun2" w:colFirst="0" w:colLast="0"/>
      <w:bookmarkStart w:id="28" w:name="_Toc64467441"/>
      <w:bookmarkEnd w:id="27"/>
      <w:r>
        <w:t>Контактная информация службы технической поддержки</w:t>
      </w:r>
      <w:bookmarkEnd w:id="28"/>
    </w:p>
    <w:p w14:paraId="6A24A9B3" w14:textId="20768B72" w:rsidR="008C5865" w:rsidRDefault="00A419EF" w:rsidP="004B7C4D">
      <w:r>
        <w:t>Телефон: +7 (495) 971-06-81</w:t>
      </w:r>
      <w:r>
        <w:br/>
        <w:t xml:space="preserve">Электронная </w:t>
      </w:r>
      <w:proofErr w:type="spellStart"/>
      <w:proofErr w:type="gramStart"/>
      <w:r>
        <w:t>почта:info@svsu.ru</w:t>
      </w:r>
      <w:proofErr w:type="spellEnd"/>
      <w:proofErr w:type="gramEnd"/>
    </w:p>
    <w:p w14:paraId="7ED05573" w14:textId="77777777" w:rsidR="004B7C4D" w:rsidRDefault="004B7C4D" w:rsidP="004B7C4D"/>
    <w:p w14:paraId="1B8F2247" w14:textId="77777777" w:rsidR="008C5865" w:rsidRDefault="00A419EF" w:rsidP="004B7C4D">
      <w:r>
        <w:t>Фактический адрес размещения инфраструктуры разработки: 125047, город Москва, 4-Я Тверская-Ямская улица, дом 2/11 строение 2, подвал пом. 1, комн.</w:t>
      </w:r>
      <w:r>
        <w:t xml:space="preserve"> 4, оф. 3</w:t>
      </w:r>
    </w:p>
    <w:p w14:paraId="5D22C6FF" w14:textId="77777777" w:rsidR="008C5865" w:rsidRDefault="008C5865" w:rsidP="004B7C4D"/>
    <w:p w14:paraId="1A39103D" w14:textId="77777777" w:rsidR="008C5865" w:rsidRDefault="00A419EF" w:rsidP="004B7C4D">
      <w:r>
        <w:t>Фактический адрес размещения разработчиков: 125047, город Москва, 4-Я Тверская-Ямская улица, дом 2/11 строение 2, подвал пом. 1, комн. 4, оф. 3</w:t>
      </w:r>
    </w:p>
    <w:p w14:paraId="1A30A158" w14:textId="77777777" w:rsidR="008C5865" w:rsidRDefault="008C5865" w:rsidP="004B7C4D"/>
    <w:p w14:paraId="56AA74C0" w14:textId="77777777" w:rsidR="008C5865" w:rsidRDefault="00A419EF" w:rsidP="004B7C4D">
      <w:r>
        <w:t>Фактический адрес размещения службы поддержки: 125047, город Москва, 4-Я Тверская-Ямская улица, дом 2/11 строение 2, подвал пом. 1, комн. 4, оф. 3</w:t>
      </w:r>
    </w:p>
    <w:p w14:paraId="644DC409" w14:textId="77777777" w:rsidR="008C5865" w:rsidRDefault="008C5865">
      <w:pPr>
        <w:jc w:val="both"/>
      </w:pPr>
    </w:p>
    <w:sectPr w:rsidR="008C5865" w:rsidSect="004B7C4D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F154" w14:textId="77777777" w:rsidR="00A419EF" w:rsidRDefault="00A419EF">
      <w:pPr>
        <w:spacing w:line="240" w:lineRule="auto"/>
      </w:pPr>
      <w:r>
        <w:separator/>
      </w:r>
    </w:p>
  </w:endnote>
  <w:endnote w:type="continuationSeparator" w:id="0">
    <w:p w14:paraId="00EA8A2B" w14:textId="77777777" w:rsidR="00A419EF" w:rsidRDefault="00A4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2343215"/>
      <w:docPartObj>
        <w:docPartGallery w:val="Page Numbers (Bottom of Page)"/>
        <w:docPartUnique/>
      </w:docPartObj>
    </w:sdtPr>
    <w:sdtContent>
      <w:p w14:paraId="2F872B35" w14:textId="342D9F9B" w:rsidR="004B7C4D" w:rsidRDefault="004B7C4D" w:rsidP="00F661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E6E90B" w14:textId="77777777" w:rsidR="004B7C4D" w:rsidRDefault="004B7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7156752"/>
      <w:docPartObj>
        <w:docPartGallery w:val="Page Numbers (Bottom of Page)"/>
        <w:docPartUnique/>
      </w:docPartObj>
    </w:sdtPr>
    <w:sdtContent>
      <w:p w14:paraId="1EDA562A" w14:textId="3F7129F3" w:rsidR="004B7C4D" w:rsidRDefault="004B7C4D" w:rsidP="00F661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9DEEAE" w14:textId="77777777" w:rsidR="004B7C4D" w:rsidRDefault="004B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4F8D" w14:textId="77777777" w:rsidR="00A419EF" w:rsidRDefault="00A419EF">
      <w:pPr>
        <w:spacing w:line="240" w:lineRule="auto"/>
      </w:pPr>
      <w:r>
        <w:separator/>
      </w:r>
    </w:p>
  </w:footnote>
  <w:footnote w:type="continuationSeparator" w:id="0">
    <w:p w14:paraId="71A28C85" w14:textId="77777777" w:rsidR="00A419EF" w:rsidRDefault="00A419EF">
      <w:pPr>
        <w:spacing w:line="240" w:lineRule="auto"/>
      </w:pPr>
      <w:r>
        <w:continuationSeparator/>
      </w:r>
    </w:p>
  </w:footnote>
  <w:footnote w:id="1">
    <w:p w14:paraId="45366F1E" w14:textId="77777777" w:rsidR="008C5865" w:rsidRPr="004B7C4D" w:rsidRDefault="00A419EF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4B7C4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Далее</w:t>
      </w:r>
      <w:r w:rsidRPr="004B7C4D">
        <w:rPr>
          <w:sz w:val="20"/>
          <w:szCs w:val="20"/>
          <w:lang w:val="en-US"/>
        </w:rPr>
        <w:t xml:space="preserve"> — </w:t>
      </w:r>
      <w:r>
        <w:rPr>
          <w:sz w:val="20"/>
          <w:szCs w:val="20"/>
        </w:rPr>
        <w:t>система</w:t>
      </w:r>
      <w:r w:rsidRPr="004B7C4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АСУДД</w:t>
      </w:r>
      <w:r w:rsidRPr="004B7C4D">
        <w:rPr>
          <w:sz w:val="20"/>
          <w:szCs w:val="20"/>
          <w:lang w:val="en-US"/>
        </w:rPr>
        <w:t xml:space="preserve"> City Road Control.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57AA"/>
    <w:multiLevelType w:val="multilevel"/>
    <w:tmpl w:val="B15E0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7A79D9"/>
    <w:multiLevelType w:val="multilevel"/>
    <w:tmpl w:val="AAE47C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37CB1"/>
    <w:multiLevelType w:val="multilevel"/>
    <w:tmpl w:val="DA265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E9791A"/>
    <w:multiLevelType w:val="multilevel"/>
    <w:tmpl w:val="4BBCE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B66715"/>
    <w:multiLevelType w:val="multilevel"/>
    <w:tmpl w:val="A4862A4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5"/>
    <w:rsid w:val="004B7C4D"/>
    <w:rsid w:val="008C5865"/>
    <w:rsid w:val="00A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9BDA"/>
  <w15:docId w15:val="{DC8B3235-D9DE-AA40-A7C0-3E9D658E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4B7C4D"/>
    <w:rPr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4B7C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C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7C4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B7C4D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4B7C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4D"/>
  </w:style>
  <w:style w:type="character" w:styleId="PageNumber">
    <w:name w:val="page number"/>
    <w:basedOn w:val="DefaultParagraphFont"/>
    <w:uiPriority w:val="99"/>
    <w:semiHidden/>
    <w:unhideWhenUsed/>
    <w:rsid w:val="004B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Faktorovich</cp:lastModifiedBy>
  <cp:revision>2</cp:revision>
  <dcterms:created xsi:type="dcterms:W3CDTF">2021-02-17T08:11:00Z</dcterms:created>
  <dcterms:modified xsi:type="dcterms:W3CDTF">2021-02-17T08:17:00Z</dcterms:modified>
</cp:coreProperties>
</file>